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23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Wechsel, die auf eine bestimmte Zeit nach Sicht lauten, müssen binnen einem Jahr nach dem Tag der Ausstellung zur Annahme vorgelegt werden.</w:t>
      </w:r>
    </w:p>
    <w:p>
      <w:r>
        <w:t xml:space="preserve">(2) Der Aussteller kann eine kürzere oder eine längere Frist bestimmen.</w:t>
      </w:r>
    </w:p>
    <w:p>
      <w:r>
        <w:t xml:space="preserve">(3) Die Indossanten können die Vorlegungsfristen abkürzen.</w:t>
      </w:r>
    </w:p>
    <w:p>
      <w:r>
        <w:rPr>
          <w:color w:val="555555"/>
          <w:sz w:val="17"/>
        </w:rPr>
        <w:t xml:space="preserve">Zitiervorschlag: Art 23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