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22 WG</w:t>
      </w:r>
    </w:p>
    <w:p>
      <w:r>
        <w:rPr>
          <w:color w:val="555555"/>
          <w:sz w:val="18"/>
        </w:rPr>
        <w:t xml:space="preserve">Wechselgesetz</w:t>
      </w:r>
    </w:p>
    <w:p>
      <w:r>
        <w:rPr>
          <w:color w:val="555555"/>
          <w:sz w:val="18"/>
        </w:rPr>
        <w:t xml:space="preserve">Stand: 10.06.2019 (konsolidierte Textfassung, kein amtliches Inkrafttretensdatum)</w:t>
      </w:r>
    </w:p>
    <w:p>
      <w:r>
        <w:t xml:space="preserve">(1) Der Aussteller kann in jedem Wechsel mit oder ohne Bestimmung einer Frist vorschreiben, daß der Wechsel zur Annahme vorgelegt werden muß.</w:t>
      </w:r>
    </w:p>
    <w:p>
      <w:r>
        <w:t xml:space="preserve">(2) Er kann im Wechsel die Vorlegung zur Annahme untersagen, wenn es sich nicht um einen Wechsel handelt, der bei einem Dritten oder an einem von dem Wohnort des Bezogenen verschiedenen Ort zahlbar ist oder der auf eine bestimmte Zeit nach Sicht lautet.</w:t>
      </w:r>
    </w:p>
    <w:p>
      <w:r>
        <w:t xml:space="preserve">(3) Er kann auch vorschreiben, daß der Wechsel nicht vor einem bestimmten Tag zur Annahme vorgelegt werden darf.</w:t>
      </w:r>
    </w:p>
    <w:p>
      <w:r>
        <w:t xml:space="preserve">(4) Jeder Indossant kann, wenn nicht der Aussteller die Vorlegung zur Annahme untersagt hat, mit oder ohne Bestimmung einer Frist vorschreiben, daß der Wechsel zur Annahme vorgelegt werden muß.</w:t>
      </w:r>
    </w:p>
    <w:p>
      <w:r>
        <w:rPr>
          <w:color w:val="555555"/>
          <w:sz w:val="17"/>
        </w:rPr>
        <w:t xml:space="preserve">Zitiervorschlag: Art 22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