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Urkunde, der einer der in vorstehendem Artikel bezeichneten Bestandteile fehlt, gilt nicht als gezogener Wechsel, vorbehaltlich der in den folgenden Absätzen bezeichneten Fälle.</w:t>
      </w:r>
    </w:p>
    <w:p>
      <w:r>
        <w:t xml:space="preserve">(2) Ein Wechsel ohne Angabe der Verfallzeit gilt als Sichtwechsel.</w:t>
      </w:r>
    </w:p>
    <w:p>
      <w:r>
        <w:t xml:space="preserve">(3) Mangels einer besonderen Angabe gilt der bei dem Namen des Bezogenen angegebene Ort als Zahlungsort und zugleich als Wohnort des Bezogenen.</w:t>
      </w:r>
    </w:p>
    <w:p>
      <w:r>
        <w:t xml:space="preserve">(4) Ein Wechsel ohne Angabe des Ausstellungsortes gilt als ausgestellt an dem Ort, der bei dem Namen des Ausstellers angegeben ist.</w:t>
      </w:r>
    </w:p>
    <w:p>
      <w:r>
        <w:rPr>
          <w:color w:val="555555"/>
          <w:sz w:val="17"/>
        </w:rPr>
        <w:t xml:space="preserve">Zitiervorschlag: Art 2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