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WG</w:t>
      </w:r>
    </w:p>
    <w:p>
      <w:r>
        <w:rPr>
          <w:color w:val="555555"/>
          <w:sz w:val="18"/>
        </w:rPr>
        <w:t xml:space="preserve">Wechselgesetz</w:t>
      </w:r>
    </w:p>
    <w:p>
      <w:r>
        <w:rPr>
          <w:color w:val="555555"/>
          <w:sz w:val="18"/>
        </w:rPr>
        <w:t xml:space="preserve">Stand: 10.06.2019 (konsolidierte Textfassung, kein amtliches Inkrafttretensdatum)</w:t>
      </w:r>
    </w:p>
    <w:p>
      <w:r>
        <w:t xml:space="preserve">Wer aus dem Wechsel in Anspruch genommen wird, kann dem Inhaber keine Einwendungen entgegensetzen, die sich auf seine unmittelbaren Beziehungen zu dem Aussteller oder zu einem früheren Inhaber gründen, es sei denn, daß der Inhaber bei dem Erwerb des Wechsels bewußt zum Nachteil des Schuldners gehandelt hat.</w:t>
      </w:r>
    </w:p>
    <w:p>
      <w:r>
        <w:rPr>
          <w:color w:val="555555"/>
          <w:sz w:val="17"/>
        </w:rPr>
        <w:t xml:space="preserve">Zitiervorschlag: Art 17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