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 WG</w:t>
      </w:r>
    </w:p>
    <w:p>
      <w:r>
        <w:rPr>
          <w:color w:val="555555"/>
          <w:sz w:val="18"/>
        </w:rPr>
        <w:t xml:space="preserve">Wechselgesetz</w:t>
      </w:r>
    </w:p>
    <w:p>
      <w:r>
        <w:rPr>
          <w:color w:val="555555"/>
          <w:sz w:val="18"/>
        </w:rPr>
        <w:t xml:space="preserve">Stand: 10.06.2019 (konsolidierte Textfassung, kein amtliches Inkrafttretensdatum)</w:t>
      </w:r>
    </w:p>
    <w:p>
      <w:r>
        <w:t xml:space="preserve">(1) Wer den Wechsel in Händen hat, gilt als rechtmäßiger Inhaber, sofern er sein Recht durch eine ununterbrochene Reihe von Indossamenten nachweist, und zwar auch dann, wenn das letzte ein Blankoindossament ist. Ausgestrichene Indossamente gelten hierbei als nicht geschrieben. Folgt auf ein Blankoindossament ein weiteres Indossament, so wird angenommen, daß der Aussteller dieses Indossaments den Wechsel durch das Blankoindossament erworben hat.</w:t>
      </w:r>
    </w:p>
    <w:p>
      <w:r>
        <w:t xml:space="preserve">(2) Ist der Wechsel einem früheren Inhaber irgendwie abhanden gekommen, so ist der neue Inhaber, der sein Recht nach den Vorschriften des vorstehenden Absatzes nachweist, zur Herausgabe des Wechsels nur verpflichtet, wenn er ihn in bösem Glauben erworben hat oder ihm beim Erwerb eine grobe Fahrlässigkeit zur Last fällt.</w:t>
      </w:r>
    </w:p>
    <w:p>
      <w:r>
        <w:rPr>
          <w:color w:val="555555"/>
          <w:sz w:val="17"/>
        </w:rPr>
        <w:t xml:space="preserve">Zitiervorschlag: Art 16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