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15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Indossant haftet mangels eines entgegenstehenden Vermerks für die Annahme und die Zahlung.</w:t>
      </w:r>
    </w:p>
    <w:p>
      <w:r>
        <w:t xml:space="preserve">(2) Er kann untersagen, daß der Wechsel weiter indossiert wird; in diesem Falle haftet er denen nicht, an die der Wechsel weiter indossiert wird.</w:t>
      </w:r>
    </w:p>
    <w:p>
      <w:r>
        <w:rPr>
          <w:color w:val="555555"/>
          <w:sz w:val="17"/>
        </w:rPr>
        <w:t xml:space="preserve">Zitiervorschlag: Art 15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