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WG</w:t>
      </w:r>
    </w:p>
    <w:p>
      <w:r>
        <w:rPr>
          <w:color w:val="555555"/>
          <w:sz w:val="18"/>
        </w:rPr>
        <w:t xml:space="preserve">Wechselgesetz</w:t>
      </w:r>
    </w:p>
    <w:p>
      <w:r>
        <w:rPr>
          <w:color w:val="555555"/>
          <w:sz w:val="18"/>
        </w:rPr>
        <w:t xml:space="preserve">Stand: 10.06.2019 (konsolidierte Textfassung, kein amtliches Inkrafttretensdatum)</w:t>
      </w:r>
    </w:p>
    <w:p>
      <w:r>
        <w:t xml:space="preserve">(1) Das Indossament muß auf den Wechsel oder auf ein mit dem Wechsel verbundenes Blatt (Anhang) gesetzt werden. Es muß von dem Indossanten unterschrieben werden.</w:t>
      </w:r>
    </w:p>
    <w:p>
      <w:r>
        <w:t xml:space="preserve">(2) Das Indossament braucht den Indossatar nicht zu bezeichnen und kann selbst in der bloßen Unterschrift des Indossanten bestehen (Blankoindossament). In diesem letzteren Falle muß das Indossament, um gültig zu sein, auf die Rückseite des Wechsels oder auf den Anhang gesetzt werden.</w:t>
      </w:r>
    </w:p>
    <w:p>
      <w:r>
        <w:rPr>
          <w:color w:val="555555"/>
          <w:sz w:val="17"/>
        </w:rPr>
        <w:t xml:space="preserve">Zitiervorschlag: Art 13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