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Indossament muß unbedingt sein. Bedingungen, von denen es abhängig gemacht wird, gelten als nicht geschrieben.</w:t>
      </w:r>
    </w:p>
    <w:p>
      <w:r>
        <w:t xml:space="preserve">(2) Ein Teilindossament ist nichtig.</w:t>
      </w:r>
    </w:p>
    <w:p>
      <w:r>
        <w:t xml:space="preserve">(3) Ein Indossament an den Inhaber gilt als Blankoindossament.</w:t>
      </w:r>
    </w:p>
    <w:p>
      <w:r>
        <w:rPr>
          <w:color w:val="555555"/>
          <w:sz w:val="17"/>
        </w:rPr>
        <w:t xml:space="preserve">Zitiervorschlag: Art 12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