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WG</w:t>
      </w:r>
    </w:p>
    <w:p>
      <w:r>
        <w:rPr>
          <w:color w:val="555555"/>
          <w:sz w:val="18"/>
        </w:rPr>
        <w:t xml:space="preserve">Wechselgesetz</w:t>
      </w:r>
    </w:p>
    <w:p>
      <w:r>
        <w:rPr>
          <w:color w:val="555555"/>
          <w:sz w:val="18"/>
        </w:rPr>
        <w:t xml:space="preserve">Stand: 10.06.2019 (konsolidierte Textfassung, kein amtliches Inkrafttretensdatum)</w:t>
      </w:r>
    </w:p>
    <w:p>
      <w:r>
        <w:t xml:space="preserve">(1) Jeder Wechsel kann durch Indossament übertragen werden, auch wenn er nicht ausdrücklich an Order lautet.</w:t>
      </w:r>
    </w:p>
    <w:p>
      <w:r>
        <w:t xml:space="preserve">(2) Hat der Aussteller in den Wechsel die Worte "nicht an Order" oder einen gleichbedeutenden Vermerk aufgenommen, so kann der Wechsel nur in der Form und mit den Wirkungen einer gewöhnlichen Abtretung übertragen werden.</w:t>
      </w:r>
    </w:p>
    <w:p>
      <w:r>
        <w:t xml:space="preserve">(3) Das Indossament kann auch auf den Bezogenen, gleichviel ob er den Wechsel angenommen hat oder nicht, auf den Aussteller oder auf jeden anderen Wechselverpflichteten lauten. Diese Personen können den Wechsel weiter indossieren.</w:t>
      </w:r>
    </w:p>
    <w:p>
      <w:r>
        <w:rPr>
          <w:color w:val="555555"/>
          <w:sz w:val="17"/>
        </w:rPr>
        <w:t xml:space="preserve">Zitiervorschlag: Art 11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