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WG</w:t>
      </w:r>
    </w:p>
    <w:p>
      <w:r>
        <w:rPr>
          <w:color w:val="555555"/>
          <w:sz w:val="18"/>
        </w:rPr>
        <w:t xml:space="preserve">Wechselgesetz</w:t>
      </w:r>
    </w:p>
    <w:p>
      <w:r>
        <w:rPr>
          <w:color w:val="555555"/>
          <w:sz w:val="18"/>
        </w:rPr>
        <w:t xml:space="preserve">Stand: 10.06.2019 (konsolidierte Textfassung, kein amtliches Inkrafttretensdatum)</w:t>
      </w:r>
    </w:p>
    <w:p>
      <w:r>
        <w:t xml:space="preserve">Wenn ein Wechsel, der bei der Begebung unvollständig war, den getroffenen Vereinbarungen zuwider ausgefüllt worden ist, so kann die Nichteinhaltung dieser Vereinbarungen dem Inhaber nicht entgegengesetzt werden, es sei denn, daß er den Wechsel in bösem Glauben erworben hat oder ihm beim Erwerb eine grobe Fahrlässigkeit zur Last fällt.</w:t>
      </w:r>
    </w:p>
    <w:p>
      <w:r>
        <w:rPr>
          <w:color w:val="555555"/>
          <w:sz w:val="17"/>
        </w:rPr>
        <w:t xml:space="preserve">Zitiervorschlag: Art 10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