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WGÜbfG</w:t>
      </w:r>
    </w:p>
    <w:p>
      <w:r>
        <w:rPr>
          <w:color w:val="555555"/>
          <w:sz w:val="18"/>
        </w:rPr>
        <w:t xml:space="preserve">Gesetz zur Überführung der Wohnungsgemeinnützigkeit in den allgemeinen Wohnungsmarkt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WGÜbfG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https://recht.nulegal.eu/gesetze/WG%C3%9CbfG/4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