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WGÜbfG — Aufhebung des Rechts der Gemeinnützigkeit im Wohnungswesen</w:t>
      </w:r>
    </w:p>
    <w:p>
      <w:r>
        <w:rPr>
          <w:color w:val="555555"/>
          <w:sz w:val="18"/>
        </w:rPr>
        <w:t xml:space="preserve">Gesetz zur Überführung der Wohnungsgemeinnützigkeit in den allgemeinen Wohnungsmarkt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werden aufgehoben: 1. 2.</w:t>
      </w:r>
    </w:p>
    <w:p>
      <w:pPr>
        <w:ind w:left="420"/>
      </w:pPr>
      <w:r>
        <w:t xml:space="preserve">3. die Verordnung zur Durchführung des Wohnungsgemeinnützigkeitsgesetzes im Saarland vom 17. Februar 1970 (Amtsblatt des Saarlandes S. 126).</w:t>
      </w:r>
    </w:p>
    <w:p>
      <w:r>
        <w:rPr>
          <w:color w:val="555555"/>
          <w:sz w:val="17"/>
        </w:rPr>
        <w:t xml:space="preserve">Zitiervorschlag: § 1 WGÜbfG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https://recht.nulegal.eu/gesetze/WG%C3%9CbfG/1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