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WFAusbV</w:t>
      </w:r>
    </w:p>
    <w:p>
      <w:r>
        <w:rPr>
          <w:color w:val="555555"/>
          <w:sz w:val="18"/>
        </w:rPr>
        <w:t xml:space="preserve">Werkfeuerwehrausbildungsverordnung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Absatz 1 und des § 6 des Berufsbildungsgesetzes, die durch Artikel 232 Nummer 1 der Verordnung vom 31. Oktober 2006 (BGBl. I S. 2407) geändert worden sind, in Verbindung mit § 1 Absatz 2 des Zuständigkeitsanpassungsgesetzes vom 16. August 2002 (BGBl. I S. 3165) und dem Organisationserlass vom 17. Dezember 2013 (BGBl. I S. 4310) verordnet das Bundesministerium für Wirtschaft und Energie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WFAusbV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