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WFAusbV — Übergangsregelung</w:t>
      </w:r>
    </w:p>
    <w:p>
      <w:r>
        <w:rPr>
          <w:color w:val="555555"/>
          <w:sz w:val="18"/>
        </w:rPr>
        <w:t xml:space="preserve">Werkfeuerwehrausbildungsverordnung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Berufsausbildungsverhältnisse nach der Verordnung über die Entwicklung und Erprobung des Ausbildungsberufes Werkfeuerwehrmann/Werkfeuerwehrfrau vom 7. Juli 2009 (BGBl. I S. 1747), die vor Ablauf des 31. Juli 2015 begonnen worden sind, werden nach den bis dahin geltenden Vorschriften zu Ende geführt.</w:t>
      </w:r>
    </w:p>
    <w:p>
      <w:r>
        <w:rPr>
          <w:color w:val="555555"/>
          <w:sz w:val="17"/>
        </w:rPr>
        <w:t xml:space="preserve">Zitiervorschlag: § 17 WFAusbV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https://recht.nulegal.eu/gesetze/WFAusbV/17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