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WFAusbV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Handwerkliche Arbeiten    mit 30 Prozent,</w:t>
      </w:r>
    </w:p>
    <w:p>
      <w:r>
        <w:rPr>
          <w:rFonts w:ascii="Courier New" w:hAnsi="Courier New"/>
          <w:sz w:val="17"/>
        </w:rPr>
        <w:t xml:space="preserve">Brandbekämpfung und Menschenrettung    mit 20 Prozent,</w:t>
      </w:r>
    </w:p>
    <w:p>
      <w:r>
        <w:rPr>
          <w:rFonts w:ascii="Courier New" w:hAnsi="Courier New"/>
          <w:sz w:val="17"/>
        </w:rPr>
        <w:t xml:space="preserve">Technische Hilfeleistung und ABC-Einsatz    mit 20 Prozent,</w:t>
      </w:r>
    </w:p>
    <w:p>
      <w:r>
        <w:rPr>
          <w:rFonts w:ascii="Courier New" w:hAnsi="Courier New"/>
          <w:sz w:val="17"/>
        </w:rPr>
        <w:t xml:space="preserve">Grundlagen und Techniken der Gefahrenabwehr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den Prüfungsbereichen „Brandbekämpfung und Menschenrettung“ sowie „Technische Hilfeleistung und ABC-Einsatz“ mit mindestens „ausreichend“,</w:t>
      </w:r>
    </w:p>
    <w:p>
      <w:pPr>
        <w:ind w:left="420"/>
      </w:pPr>
      <w:r>
        <w:t xml:space="preserve">4. in mindestens einem der übrigen Prüfungsbereiche von Teil 2 der Abschlussprüfung mit mindestens „ausreichend“ und</w:t>
      </w:r>
    </w:p>
    <w:p>
      <w:pPr>
        <w:ind w:left="420"/>
      </w:pPr>
      <w:r>
        <w:t xml:space="preserve">5. in keinem Prüfungsbereich von Teil 2 der Abschlussprüfung mit „ungenügend“.</w:t>
      </w:r>
    </w:p>
    <w:p>
      <w:r>
        <w:t xml:space="preserve">(3) Auf Antrag des Prüflings ist die Prüfung in einem der Prüfungsbereiche „Grundlagen und Techniken der Gefahrenabwehr“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der Ergebnisse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