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WDOBezV 2020</w:t>
      </w:r>
    </w:p>
    <w:p>
      <w:r>
        <w:rPr>
          <w:color w:val="555555"/>
          <w:sz w:val="18"/>
        </w:rPr>
        <w:t xml:space="preserve">WDO-Bezügeverordnung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Auf Grund des § 146 der Wehrdisziplinarordnung, der durch Artikel 15 Nummer 5 des Gesetzes vom 4. August 2019 (BGBl. I S. 1147) geändert worden ist, verordnet das Bundesministerium der Verteidigung im Einvernehmen mit dem Bundesministerium des Innern, für Bau und Heimat:</w:t>
      </w:r>
    </w:p>
    <w:p>
      <w:r>
        <w:rPr>
          <w:color w:val="555555"/>
          <w:sz w:val="17"/>
        </w:rPr>
        <w:t xml:space="preserve">Zitiervorschlag: Eingangsformel WDOBezV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https://recht.nulegal.eu/gesetze/WDOBezV%202020/eingangsformel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