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WDOBezV 2020 — Inkrafttreten, Außerkrafttreten</w:t>
      </w:r>
    </w:p>
    <w:p>
      <w:r>
        <w:rPr>
          <w:color w:val="555555"/>
          <w:sz w:val="18"/>
        </w:rPr>
        <w:t xml:space="preserve">WDO-Bezügeverordnung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Diese Verordnung tritt am Tag nach der Verkündung in Kraft. Gleichzeitig tritt die WDO-Bezügeverordnung vom 7. Februar 2016 (BGBl. I S. 178) außer Kraft.</w:t>
      </w:r>
    </w:p>
    <w:p>
      <w:r>
        <w:rPr>
          <w:color w:val="555555"/>
          <w:sz w:val="17"/>
        </w:rPr>
        <w:t xml:space="preserve">Zitiervorschlag: § 3 WDOBezV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https://recht.nulegal.eu/gesetze/WDOBezV%202020/3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