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WDOBezV 2020 — Übergangsvorschrift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WDO-Bezügeverordnung vom 7. Februar 2016 (BGBl. I S. 178) ist weiter anzuwenden, wenn vor dem 1. September 2020</w:t>
      </w:r>
    </w:p>
    <w:p>
      <w:pPr>
        <w:ind w:left="420"/>
      </w:pPr>
      <w:r>
        <w:t xml:space="preserve">1. ein Urteil auf Kürzung der Dienstbezüge rechtskräftig geworden ist,</w:t>
      </w:r>
    </w:p>
    <w:p>
      <w:pPr>
        <w:ind w:left="420"/>
      </w:pPr>
      <w:r>
        <w:t xml:space="preserve">2. eine Disziplinarbuße unanfechtbar geworden ist oder</w:t>
      </w:r>
    </w:p>
    <w:p>
      <w:pPr>
        <w:ind w:left="420"/>
      </w:pPr>
      <w:r>
        <w:t xml:space="preserve">3. ein Teil der Dienstbezüge auf Grund einer Anordnung der Einleitungsbehörde erstmals einbehalten worden ist.</w:t>
      </w:r>
    </w:p>
    <w:p>
      <w:r>
        <w:rPr>
          <w:color w:val="555555"/>
          <w:sz w:val="17"/>
        </w:rPr>
        <w:t xml:space="preserve">Zitiervorschlag: § 2 WDOBezV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