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WDOBezV 2016</w:t>
      </w:r>
    </w:p>
    <w:p>
      <w:r>
        <w:rPr>
          <w:color w:val="555555"/>
          <w:sz w:val="18"/>
        </w:rPr>
        <w:t xml:space="preserve">WDO-Bezügeverordnung</w:t>
      </w:r>
    </w:p>
    <w:p>
      <w:r>
        <w:rPr>
          <w:color w:val="555555"/>
          <w:sz w:val="18"/>
        </w:rPr>
        <w:t xml:space="preserve">Historische Fassung: Stand 10.06.2019 bis 03.09.2020. Dies ist nicht die aktuelle Fassung.</w:t>
      </w:r>
    </w:p>
    <w:p>
      <w:r>
        <w:t xml:space="preserve">Auf Grund des § 146 der Wehrdisziplinarordnung vom 16. August 2001 (BGBl. I S. 2093) verordnet das Bundesministerium der Verteidigung im Einvernehmen mit dem Bundesministerium des Innern:</w:t>
      </w:r>
    </w:p>
    <w:p>
      <w:r>
        <w:rPr>
          <w:color w:val="555555"/>
          <w:sz w:val="17"/>
        </w:rPr>
        <w:t xml:space="preserve">Zitiervorschlag: Eingangsformel WDOBezV 2016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https://recht.nulegal.eu/gesetze/WDOBezV%202016/eingangsformel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