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WDOBezV 2016 — Übergangsvorschrift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Historische Fassung: Stand 10.06.2019 bis 03.09.2020. Dies ist nicht die aktuelle Fassung.</w:t>
      </w:r>
    </w:p>
    <w:p>
      <w:r>
        <w:t xml:space="preserve">Die WDO-Bezügeverordnung vom 18. Juli 2007 (BGBl. I S. 1809) ist weiter anzuwenden, wenn vor dem 16. Februar 2016</w:t>
      </w:r>
    </w:p>
    <w:p>
      <w:pPr>
        <w:ind w:left="420"/>
      </w:pPr>
      <w:r>
        <w:t xml:space="preserve">1. ein Urteil auf Kürzung der Dienstbezüge unanfechtbar geworden,</w:t>
      </w:r>
    </w:p>
    <w:p>
      <w:pPr>
        <w:ind w:left="420"/>
      </w:pPr>
      <w:r>
        <w:t xml:space="preserve">2. eine Disziplinarbuße verhängt worden oder</w:t>
      </w:r>
    </w:p>
    <w:p>
      <w:pPr>
        <w:ind w:left="420"/>
      </w:pPr>
      <w:r>
        <w:t xml:space="preserve">3. ein Teil der Dienstbezüge auf Grund einer Anordnung der Einleitungsbehörde erstmalig einbehalten worden</w:t>
      </w:r>
    </w:p>
    <w:p>
      <w:r>
        <w:t xml:space="preserve">ist.</w:t>
      </w:r>
    </w:p>
    <w:p>
      <w:r>
        <w:rPr>
          <w:color w:val="555555"/>
          <w:sz w:val="17"/>
        </w:rPr>
        <w:t xml:space="preserve">Zitiervorschlag: § 2 WDOBezV 2016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