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WDO 2025 — Ladungen</w:t>
      </w:r>
    </w:p>
    <w:p>
      <w:r>
        <w:rPr>
          <w:color w:val="555555"/>
          <w:sz w:val="18"/>
        </w:rPr>
        <w:t xml:space="preserve">Wehrdisziplinarordnung</w:t>
      </w:r>
    </w:p>
    <w:p>
      <w:r>
        <w:rPr>
          <w:color w:val="555555"/>
          <w:sz w:val="18"/>
        </w:rPr>
        <w:t xml:space="preserve">Stand: 13.04.2025 (konsolidierte Textfassung, kein amtliches Inkrafttretensdatum)</w:t>
      </w:r>
    </w:p>
    <w:p>
      <w:r>
        <w:t xml:space="preserve">Soldatinnen und Soldaten werden zur Hauptverhandlung sowie zu sonstigen Vernehmungen dienstlich gestellt, auch wenn sie Zeuginnen und Zeugen oder Sachverständige sind oder als Vertrauenspersonen in der Hauptverhandlung angehört werden. Bei der Bekanntgabe des Termins ist der Soldatin oder dem Soldaten die Ladung auszuhändigen. Frühere Soldatinnen und frühere Soldaten sowie andere Personen werden unmittelbar geladen.</w:t>
      </w:r>
    </w:p>
    <w:p>
      <w:r>
        <w:rPr>
          <w:color w:val="555555"/>
          <w:sz w:val="17"/>
        </w:rPr>
        <w:t xml:space="preserve">Zitiervorschlag: § 92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