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WDO 2025 — Präsidialverfassung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Bei jedem Truppendienstgericht wird ein Präsidium gebildet.</w:t>
      </w:r>
    </w:p>
    <w:p>
      <w:r>
        <w:t xml:space="preserve">(2) Die vom Präsidium getroffenen Anordnungen können im Laufe des Geschäftsjahres geändert werden, wenn dies infolge einer Veränderung in der Gliederung der Bundeswehr erforderlich wird.</w:t>
      </w:r>
    </w:p>
    <w:p>
      <w:r>
        <w:t xml:space="preserve">(3) Der Zweite Titel des Gerichtsverfassungsgesetzes gilt entsprechend, soweit sich aus diesem Gesetz nicht etwas anderes ergibt.</w:t>
      </w:r>
    </w:p>
    <w:p>
      <w:r>
        <w:rPr>
          <w:color w:val="555555"/>
          <w:sz w:val="17"/>
        </w:rPr>
        <w:t xml:space="preserve">Zitiervorschlag: § 74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