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WDO 2025 — Aberkennung des Dienstgrades</w:t>
      </w:r>
    </w:p>
    <w:p>
      <w:r>
        <w:rPr>
          <w:color w:val="555555"/>
          <w:sz w:val="18"/>
        </w:rPr>
        <w:t xml:space="preserve">Wehrdisziplinarordnung</w:t>
      </w:r>
    </w:p>
    <w:p>
      <w:r>
        <w:rPr>
          <w:color w:val="555555"/>
          <w:sz w:val="18"/>
        </w:rPr>
        <w:t xml:space="preserve">Stand: 13.04.2025 (konsolidierte Textfassung, kein amtliches Inkrafttretensdatum)</w:t>
      </w:r>
    </w:p>
    <w:p>
      <w:r>
        <w:t xml:space="preserve">Die Aberkennung des Dienstgrades bewirkt den Verlust des Dienstgrades und der sich daraus ergebenden Befugnisse. Sie setzt voraus, dass die Entfernung aus dem Dienstverhältnis gerechtfertigt wäre, falls sich die Reservistin oder der Reservist noch im Dienst befände. § 65 Absatz 1 Satz 3 gilt entsprechend.</w:t>
      </w:r>
    </w:p>
    <w:p>
      <w:r>
        <w:rPr>
          <w:color w:val="555555"/>
          <w:sz w:val="17"/>
        </w:rPr>
        <w:t xml:space="preserve">Zitiervorschlag: § 68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