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WDO 2025 — Dienstgradherabsetzung</w:t>
      </w:r>
    </w:p>
    <w:p>
      <w:r>
        <w:rPr>
          <w:color w:val="555555"/>
          <w:sz w:val="18"/>
        </w:rPr>
        <w:t xml:space="preserve">Wehrdisziplinarordnung</w:t>
      </w:r>
    </w:p>
    <w:p>
      <w:r>
        <w:rPr>
          <w:color w:val="555555"/>
          <w:sz w:val="18"/>
        </w:rPr>
        <w:t xml:space="preserve">Stand: 13.04.2025 (konsolidierte Textfassung, kein amtliches Inkrafttretensdatum)</w:t>
      </w:r>
    </w:p>
    <w:p>
      <w:r>
        <w:t xml:space="preserve">(1) Bei Offizierinnen und Offizieren ist die Dienstgradherabsetzung um einen oder mehrere Dienstgrade bis zum niedrigsten Offizierdienstgrad ihrer Laufbahn zulässig. Diese Beschränkung gilt auch bei Offizierinnen und Offizieren, gegen die Disziplinarmaßnahmen nach § 60 Absatz 2 und 3 verhängt werden dürfen.</w:t>
      </w:r>
    </w:p>
    <w:p>
      <w:r>
        <w:t xml:space="preserve">(2) Bei Unteroffizierinnen und Unteroffizieren, die Berufssoldatinnen und Berufssoldaten sind, ist die Dienstgradherabsetzung bis zum Dienstgrad Feldwebel, bei Stabsunteroffizieren zum Dienstgrad Unteroffizier zulässig. Das Gleiche gilt, wenn Berufssoldatinnen im Ruhestand und Berufssoldaten im Ruhestand einen Unteroffizierdienstgrad führen. Eine Dienstgradherabsetzung in den Dienstgrad eines Stabskorporals oder Korporals ist bei Unteroffizierinnen und Unteroffizieren nicht zulässig.</w:t>
      </w:r>
    </w:p>
    <w:p>
      <w:r>
        <w:t xml:space="preserve">(3) Im Übrigen ist die Dienstgradherabsetzung unbeschränkt zulässig.</w:t>
      </w:r>
    </w:p>
    <w:p>
      <w:r>
        <w:t xml:space="preserve">(4) Durch die Dienstgradherabsetzung verliert die Soldatin oder der Soldat alle Rechte aus dem bisherigen Dienstgrad. Sie oder er tritt in den Dienstgrad und, wenn dieser in zwei Besoldungsgruppen aufgeführt ist, in die Besoldungsgruppe zurück, die das Wehrdienstgericht bestimmt. Die Ansprüche auf Dienstbezüge und Dienstzeitversorgung richten sich nach dem Dienstgrad und der Besoldungsgruppe, in die sie oder er zurücktritt.</w:t>
      </w:r>
    </w:p>
    <w:p>
      <w:r>
        <w:t xml:space="preserve">(5) Eine Beförderung ist frühestens drei Jahre nach Rechtskraft des Urteils wieder möglich. § 62 Absatz 1 Satz 2 gilt entsprechend. Aus besonderen Gründen kann das Gericht die Frist im Urteil auf zwei Jahre herabsetzen.</w:t>
      </w:r>
    </w:p>
    <w:p>
      <w:r>
        <w:rPr>
          <w:color w:val="555555"/>
          <w:sz w:val="17"/>
        </w:rPr>
        <w:t xml:space="preserve">Zitiervorschlag: § 64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