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WDO 2025 — Beförderungsverbot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Während der Dauer eines Beförderungsverbots darf kein höherer Dienstgrad verliehen werden. Auch eine Einweisung in eine Planstelle einer höheren Besoldungsgruppe darf nicht erfolgen.</w:t>
      </w:r>
    </w:p>
    <w:p>
      <w:r>
        <w:t xml:space="preserve">(2) Die Dauer des Beförderungsverbots beträgt mindestens ein Jahr und höchstens vier Jahre. Sie ist nach vollen Monaten zu bemessen.</w:t>
      </w:r>
    </w:p>
    <w:p>
      <w:r>
        <w:rPr>
          <w:color w:val="555555"/>
          <w:sz w:val="17"/>
        </w:rPr>
        <w:t xml:space="preserve">Zitiervorschlag: § 62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