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WDO 2025 — Vollstreckbarkeit der Disziplinarmaßnahmen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Eine verhängte Disziplinarmaßnahme ist erst dann zu vollstrecken, wenn die Soldatin oder der Soldat an dem auf die Verhängung folgenden Tag ausreichend Zeit und Gelegenheit zur Beschwerde hatte und davon keinen Gebrauch gemacht hat. Vorher kann auf die Beschwerde nicht verzichtet werden.</w:t>
      </w:r>
    </w:p>
    <w:p>
      <w:r>
        <w:t xml:space="preserve">(2) Disziplinarmaßnahmen, die durch Entscheidung eines Wehrdienstgerichts verhängt sind, werden mit der Rechtskraft der Entscheidung wirksam und vollstreckbar.</w:t>
      </w:r>
    </w:p>
    <w:p>
      <w:r>
        <w:rPr>
          <w:color w:val="555555"/>
          <w:sz w:val="17"/>
        </w:rPr>
        <w:t xml:space="preserve">Zitiervorschlag: § 49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