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WDO 2025 — Verfahren bei Aufhebung oder Änderung einer Disziplinarmaßnahme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Über den Antrag auf Aufhebung oder Änderung einer Disziplinarmaßnahme entscheidet das Wehrdienstgericht durch Beschluss.</w:t>
      </w:r>
    </w:p>
    <w:p>
      <w:r>
        <w:t xml:space="preserve">(2) Für das Verfahren gelten die Vorschriften über die Beschwerde entsprechend. § 20 der Wehrbeschwerdeordnung ist anzuwenden, soweit es sich nicht um Anträge einer oder eines Disziplinarvorgesetzten nach § 46 Absatz 1 oder 2 handelt.</w:t>
      </w:r>
    </w:p>
    <w:p>
      <w:r>
        <w:t xml:space="preserve">(3) Von der Entscheidung über den Antrag sind diejenigen Richterinnen und Richter ausgeschlossen, die bei der Verhängung der Disziplinarmaßnahme nach § 40 Absatz 4 oder in einem Beschwerdeverfahren gegen die Disziplinarmaßnahme mitgewirkt haben.</w:t>
      </w:r>
    </w:p>
    <w:p>
      <w:r>
        <w:rPr>
          <w:color w:val="555555"/>
          <w:sz w:val="17"/>
        </w:rPr>
        <w:t xml:space="preserve">Zitiervorschlag: § 47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