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30 WDO 2025 — Zuständigkeit der oder des nächsthöheren Disziplinarvorgesetzten</w:t>
      </w:r>
    </w:p>
    <w:p>
      <w:r>
        <w:rPr>
          <w:color w:val="555555"/>
          <w:sz w:val="18"/>
        </w:rPr>
        <w:t xml:space="preserve">Wehrdisziplinarordnung</w:t>
      </w:r>
    </w:p>
    <w:p>
      <w:r>
        <w:rPr>
          <w:color w:val="555555"/>
          <w:sz w:val="18"/>
        </w:rPr>
        <w:t xml:space="preserve">Stand: 13.04.2025 (konsolidierte Textfassung, kein amtliches Inkrafttretensdatum)</w:t>
      </w:r>
    </w:p>
    <w:p>
      <w:r>
        <w:t xml:space="preserve">(1) Die oder der nächsthöhere Disziplinarvorgesetzte ist zuständig, wenn die Tat von der oder dem nächsten Disziplinarvorgesetzten nicht geahndet werden kann, weil</w:t>
      </w:r>
    </w:p>
    <w:p>
      <w:pPr>
        <w:ind w:left="420"/>
      </w:pPr>
      <w:r>
        <w:t xml:space="preserve">1. diese oder dieser selbst an der Tat beteiligt ist,</w:t>
      </w:r>
    </w:p>
    <w:p>
      <w:pPr>
        <w:ind w:left="420"/>
      </w:pPr>
      <w:r>
        <w:t xml:space="preserve">2. die Tat im Fall des § 29 Absatz 3 von einer oder einem Dienstgradgleichen oder einer oder einem Dienstgradhöheren begangen worden ist,</w:t>
      </w:r>
    </w:p>
    <w:p>
      <w:pPr>
        <w:ind w:left="420"/>
      </w:pPr>
      <w:r>
        <w:t xml:space="preserve">3. die Tat von einer Vertrauensperson begangen worden ist, es sei denn, dass die Voraussetzungen des § 15 Absatz 2 Satz 2 des Soldatinnen- und Soldatenbeteiligungsgesetzes vorliegen, oder</w:t>
      </w:r>
    </w:p>
    <w:p>
      <w:pPr>
        <w:ind w:left="420"/>
      </w:pPr>
      <w:r>
        <w:t xml:space="preserve">4. die oder der nächste Disziplinarvorgesetzte nicht erreichbar ist und die militärische Disziplin ein sofortiges Einschreiten erfordert; solche Fälle sind unverzüglich der oder dem sonst zuständigen Disziplinarvorgesetzten mitzuteilen.</w:t>
      </w:r>
    </w:p>
    <w:p>
      <w:r>
        <w:t xml:space="preserve">(2) Die oder der nächsthöhere Disziplinarvorgesetzte ist weiterhin für die Ahndung der Tat zuständig, wenn die oder der nächste Disziplinarvorgesetzte meldet, dass</w:t>
      </w:r>
    </w:p>
    <w:p>
      <w:pPr>
        <w:ind w:left="420"/>
      </w:pPr>
      <w:r>
        <w:t xml:space="preserve">1. ihre oder seine Disziplinarbefugnis nach § 28 Absatz 1 Satz 2 Nummer 1 und 2 nicht ausreicht,</w:t>
      </w:r>
    </w:p>
    <w:p>
      <w:pPr>
        <w:ind w:left="420"/>
      </w:pPr>
      <w:r>
        <w:t xml:space="preserve">2. sie oder er persönlich durch die Tat verletzt ist oder</w:t>
      </w:r>
    </w:p>
    <w:p>
      <w:pPr>
        <w:ind w:left="420"/>
      </w:pPr>
      <w:r>
        <w:t xml:space="preserve">3. sie oder er sich für befangen hält.</w:t>
      </w:r>
    </w:p>
    <w:p>
      <w:r>
        <w:t xml:space="preserve">(3) Die oder der nächste Disziplinarvorgesetzte hat in den Fällen des Absatzes 1 Nummer 1 bis 3 und des Absatzes 2 das Dienstvergehen der oder dem nächsthöheren Disziplinarvorgesetzten zu melden.</w:t>
      </w:r>
    </w:p>
    <w:p>
      <w:r>
        <w:rPr>
          <w:color w:val="555555"/>
          <w:sz w:val="17"/>
        </w:rPr>
        <w:t xml:space="preserve">Zitiervorschlag: § 30 WDO 2025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https://recht.nulegal.eu/gesetze/WDO%202025/30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