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WDO 2025 — Akteneinsicht</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Der Soldatin oder dem Soldaten ist zu gestatten, die Akten einzusehen, soweit dies ohne Gefährdung des Ermittlungszwecks möglich ist. Bei der Anhörung nach § 14 Absatz 1 Satz 3, nach § 32 Absatz 5 Satz 1 oder nach der Zustellung der Anschuldigungsschrift oder des Antrags der Wehrdisziplinaranwaltschaft auf Erlass eines Disziplinargerichtsbescheids ist die Einsicht ohne diese Einschränkung zu gestatten. Einsicht in elektronische Akten kann dadurch gewährt werden, dass der Inhalt der Akte zum Abruf bereitgestellt oder auf einem sicheren Übermittlungsweg übermittelt wird. Soweit die Akten eingesehen werden können, dürfen daraus Abschriften gefertigt werden. Insoweit darf sich die Soldatin oder der Soldat auch auf eigene Kosten Kopien oder einen Aktenausdruck anfertigen lassen.</w:t>
      </w:r>
    </w:p>
    <w:p>
      <w:r>
        <w:t xml:space="preserve">(2) Akten und Schriftstücke, die nicht eingesehen werden dürfen, dürfen weder beigezogen noch verwertet werden.</w:t>
      </w:r>
    </w:p>
    <w:p>
      <w:r>
        <w:rPr>
          <w:color w:val="555555"/>
          <w:sz w:val="17"/>
        </w:rPr>
        <w:t xml:space="preserve">Zitiervorschlag: § 3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