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WDO 2025 — Entscheidung über die Kosten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Jede Entscheidung in der Hauptsache muss bestimmen, wer die Kosten des Verfahrens zu tragen hat.</w:t>
      </w:r>
    </w:p>
    <w:p>
      <w:r>
        <w:t xml:space="preserve">(2) Die Entscheidung darüber, wer die notwendigen Auslagen trägt, trifft das Wehrdienstgericht in dem Urteil oder in dem Beschluss, der das Verfahren abschließt.</w:t>
      </w:r>
    </w:p>
    <w:p>
      <w:r>
        <w:t xml:space="preserve">(3) Die Kosten können von den Dienst- oder Versorgungsbezügen oder von einem gewährten Unterhaltsbeitrag abgezogen werden. § 65 des Soldatenversorgungsgesetzes gilt insofern nicht. Soweit erforderlich, werden Geldbeträge nach dem Verwaltungs-Vollstreckungsgesetz beigetrieben.</w:t>
      </w:r>
    </w:p>
    <w:p>
      <w:r>
        <w:t xml:space="preserve">(4) Sieht die Einleitungsbehörde nach Abschluss der Vorermittlungen nach § 95 von der Einleitung eines gerichtlichen Disziplinarverfahrens ab oder stellt sie das gerichtliche Disziplinarverfahren ein, entscheidet auf ihren Antrag oder auf Antrag der Soldatin oder des Soldaten die zuständige Richterin oder der zuständige Richter des Truppendienstgerichts, das zur Entscheidung über die Hauptsache zuständig gewesen wäre, wer die notwendigen Auslagen trägt. Der Antrag auf Erstattung der notwendigen Auslagen ist innerhalb eines Monats nach Zustellung der Entscheidung beim Truppendienstgericht einzureichen. Beabsichtigt die Richterin oder der Richter, die notwendigen Auslagen nicht in vollem Umfang dem Bund aufzuerlegen, ist der Soldatin oder dem Soldaten Gelegenheit zur Äußerung zu geben. Der Beschluss ist der Soldatin oder dem Soldaten zuzustellen und der Einleitungsbehörde bekannt zu geben.</w:t>
      </w:r>
    </w:p>
    <w:p>
      <w:r>
        <w:t xml:space="preserve">(5) Gegen die Entscheidung des Truppendienstgerichts oder der Richterin oder des Richters des Truppendienstgerichts über die Kosten und die notwendigen Auslagen ist die Beschwerde zulässig. Die Beschwerde ist bis zum Ablauf eines Monats nach Zustellung der Entscheidung beim Truppendienstgericht einzulegen. Über die Beschwerde entscheidet das Truppendienstgericht.</w:t>
      </w:r>
    </w:p>
    <w:p>
      <w:r>
        <w:rPr>
          <w:color w:val="555555"/>
          <w:sz w:val="17"/>
        </w:rPr>
        <w:t xml:space="preserve">Zitiervorschlag: § 145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https://recht.nulegal.eu/gesetze/WDO%202025/145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