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128 WDO 2025 — Ausbleiben der Soldatin oder des Soldaten</w:t>
      </w:r>
    </w:p>
    <w:p>
      <w:r>
        <w:rPr>
          <w:color w:val="555555"/>
          <w:sz w:val="18"/>
        </w:rPr>
        <w:t xml:space="preserve">Wehrdisziplinarordnung</w:t>
      </w:r>
    </w:p>
    <w:p>
      <w:r>
        <w:rPr>
          <w:color w:val="555555"/>
          <w:sz w:val="18"/>
        </w:rPr>
        <w:t xml:space="preserve">Stand: 13.04.2025 (konsolidierte Textfassung, kein amtliches Inkrafttretensdatum)</w:t>
      </w:r>
    </w:p>
    <w:p>
      <w:r>
        <w:t xml:space="preserve">Außer in den Fällen des § 106 Absatz 1 findet die Berufungshauptverhandlung auch dann ohne die Soldatin oder den Soldaten statt, wenn sie oder er ordnungsgemäß geladen worden und in der Ladung darauf hingewiesen worden ist, dass in ihrer oder seiner Abwesenheit verhandelt werden kann.</w:t>
      </w:r>
    </w:p>
    <w:p>
      <w:r>
        <w:rPr>
          <w:color w:val="555555"/>
          <w:sz w:val="17"/>
        </w:rPr>
        <w:t xml:space="preserve">Zitiervorschlag: § 128 WDO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https://recht.nulegal.eu/gesetze/WDO%202025/128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