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126 WDO 2025 — Bindung des Truppendienstgerichts</w:t>
      </w:r>
    </w:p>
    <w:p>
      <w:r>
        <w:rPr>
          <w:color w:val="555555"/>
          <w:sz w:val="18"/>
        </w:rPr>
        <w:t xml:space="preserve">Wehrdisziplinarordnung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Wird die Sache an ein Truppendienstgericht zurückverwiesen, ist es an die rechtliche Beurteilung gebunden, die der Entscheidung des Bundesverwaltungsgerichts zu Grunde liegt.</w:t>
      </w:r>
    </w:p>
    <w:p>
      <w:r>
        <w:rPr>
          <w:color w:val="555555"/>
          <w:sz w:val="17"/>
        </w:rPr>
        <w:t xml:space="preserve">Zitiervorschlag: § 126 WDO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https://recht.nulegal.eu/gesetze/WDO%202025/126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