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WDO 2025 — Begründung der Berufung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Innerhalb eines Monats nach Zustellung des Urteils ist beim Truppendienstgericht anzugeben, inwieweit das Urteil angefochten wird und welche Änderungen beantragt werden. Die Anträge sind zu begründen.</w:t>
      </w:r>
    </w:p>
    <w:p>
      <w:r>
        <w:t xml:space="preserve">(2) Die §§ 117 und 120 Absatz 1 Satz 3 und Absatz 2 Satz 2 gelten entsprechend.</w:t>
      </w:r>
    </w:p>
    <w:p>
      <w:r>
        <w:rPr>
          <w:color w:val="555555"/>
          <w:sz w:val="17"/>
        </w:rPr>
        <w:t xml:space="preserve">Zitiervorschlag: § 121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