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WDO 2025 — Zuständigkeit zum Erteilen förmlicher Anerkennungen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Es können erteilen</w:t>
      </w:r>
    </w:p>
    <w:p>
      <w:pPr>
        <w:ind w:left="420"/>
      </w:pPr>
      <w:r>
        <w:t xml:space="preserve">1. Disziplinarvorgesetzte mit der Disziplinarbefugnis nach § 28 Absatz 1 Satz 2 Nummer 1 oder einer höheren Disziplinarbefugnis eine Anerkennung im Kompanie- oder Tagesbefehl,</w:t>
      </w:r>
    </w:p>
    <w:p>
      <w:pPr>
        <w:ind w:left="420"/>
      </w:pPr>
      <w:r>
        <w:t xml:space="preserve">2. die Bundesministerin der Verteidigung oder der Bundesminister der Verteidigung eine Anerkennung im Tagesbefehl.</w:t>
      </w:r>
    </w:p>
    <w:p>
      <w:r>
        <w:t xml:space="preserve">(2) Es können gewähren</w:t>
      </w:r>
    </w:p>
    <w:p>
      <w:pPr>
        <w:ind w:left="420"/>
      </w:pPr>
      <w:r>
        <w:t xml:space="preserve">1. Disziplinarvorgesetzte mit der Disziplinarbefugnis nach § 28 Absatz 1 Satz 2 Nummer 1 Sonderurlaub bis zu fünf Arbeitstagen,</w:t>
      </w:r>
    </w:p>
    <w:p>
      <w:pPr>
        <w:ind w:left="420"/>
      </w:pPr>
      <w:r>
        <w:t xml:space="preserve">2. Disziplinarvorgesetzte mit der Disziplinarbefugnis nach § 28 Absatz 1 Satz 2 Nummer 2 Sonderurlaub bis zu sieben Arbeitstagen,</w:t>
      </w:r>
    </w:p>
    <w:p>
      <w:pPr>
        <w:ind w:left="420"/>
      </w:pPr>
      <w:r>
        <w:t xml:space="preserve">3. Disziplinarvorgesetzte mit der Disziplinarbefugnis nach § 28 Absatz 1 Satz 2 Nummer 3 Sonderurlaub bis zu 14 Arbeitstagen.</w:t>
      </w:r>
    </w:p>
    <w:p>
      <w:r>
        <w:rPr>
          <w:color w:val="555555"/>
          <w:sz w:val="17"/>
        </w:rPr>
        <w:t xml:space="preserve">Zitiervorschlag: § 12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