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WDO 2025 — Unterzeichnung des Urteils, Zustellung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mit Gründen versehene Urteil der Truppendienstkammer ist von der oder dem Vorsitzenden, im Fall der großen Besetzung auch von den beiden weiteren Richterinnen und Richtern zu unterzeichnen.</w:t>
      </w:r>
    </w:p>
    <w:p>
      <w:r>
        <w:t xml:space="preserve">(2) Der Soldatin oder dem Soldaten sowie der Wehrdisziplinaranwaltschaft ist eine Ausfertigung des Urteils mit Gründen zuzustellen.</w:t>
      </w:r>
    </w:p>
    <w:p>
      <w:r>
        <w:rPr>
          <w:color w:val="555555"/>
          <w:sz w:val="17"/>
        </w:rPr>
        <w:t xml:space="preserve">Zitiervorschlag: § 113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