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WDO 2025 — Voraussetzungen und Arten der förmlichen Anerkennungen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Vorbildliche Pflichterfüllung oder hervorragende Einzeltaten können durch förmliche Anerkennungen gewürdigt werden.</w:t>
      </w:r>
    </w:p>
    <w:p>
      <w:r>
        <w:t xml:space="preserve">(2) Förmliche Anerkennungen erfolgen durch Kompanie- oder Tagesbefehl.</w:t>
      </w:r>
    </w:p>
    <w:p>
      <w:r>
        <w:t xml:space="preserve">(3) Mit einer förmlichen Anerkennung kann Sonderurlaub bis zu 14 Arbeitstagen verbunden werden.</w:t>
      </w:r>
    </w:p>
    <w:p>
      <w:r>
        <w:t xml:space="preserve">(4) Gute Leistungen können auch durch Auszeichnungen anderer Art gewürdigt werden.</w:t>
      </w:r>
    </w:p>
    <w:p>
      <w:r>
        <w:rPr>
          <w:color w:val="555555"/>
          <w:sz w:val="17"/>
        </w:rPr>
        <w:t xml:space="preserve">Zitiervorschlag: § 11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