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94 WDO 2002 — Einleitungsbehörden</w:t>
      </w:r>
    </w:p>
    <w:p>
      <w:r>
        <w:rPr>
          <w:color w:val="555555"/>
          <w:sz w:val="18"/>
        </w:rPr>
        <w:t xml:space="preserve">Wehrdisziplinarordnung</w:t>
      </w:r>
    </w:p>
    <w:p>
      <w:r>
        <w:rPr>
          <w:color w:val="555555"/>
          <w:sz w:val="18"/>
        </w:rPr>
        <w:t xml:space="preserve">Historische Fassung: Stand 10.06.2019 bis 13.04.2025. Dies ist nicht die aktuelle Fassung.</w:t>
      </w:r>
    </w:p>
    <w:p>
      <w:r>
        <w:t xml:space="preserve">(1) Einleitungsbehörde ist</w:t>
      </w:r>
    </w:p>
    <w:p>
      <w:pPr>
        <w:ind w:left="420"/>
      </w:pPr>
      <w:r>
        <w:t xml:space="preserve">1. für Offiziere vom Dienstgrad eines Obersten und eines entsprechenden Dienstgrades an aufwärts der Bundesminister der Verteidigung; er kann seine Befugnisse auf nachgeordnete Einleitungsbehörden übertragen, sie jedoch im Einzelfall wieder an sich ziehen;</w:t>
      </w:r>
    </w:p>
    <w:p>
      <w:pPr>
        <w:ind w:left="420"/>
      </w:pPr>
      <w:r>
        <w:t xml:space="preserve">2. für andere Soldaten der Kommandeur der Division, ein höherer Vorgesetzter oder Vorgesetzte in entsprechender oder vergleichbarer Dienststellung;</w:t>
      </w:r>
    </w:p>
    <w:p>
      <w:pPr>
        <w:ind w:left="420"/>
      </w:pPr>
      <w:r>
        <w:t xml:space="preserve">3. für Soldaten, für die keine der in Nummer 1 oder 2 genannten Einleitungsbehörden zuständig ist, sowie für frühere Soldaten der Bundesminister der Verteidigung oder die von ihm bestimmte Dienststelle.</w:t>
      </w:r>
    </w:p>
    <w:p>
      <w:r>
        <w:t xml:space="preserve">§ 93 Abs. 3 bleibt unberührt.</w:t>
      </w:r>
    </w:p>
    <w:p>
      <w:r>
        <w:t xml:space="preserve">(2) Der Bundesminister der Verteidigung bestimmt, welche Vorgesetzten im Sinne des Absatzes 1 Nr. 2 sich in entsprechender oder vergleichbarer Dienststellung befinden.</w:t>
      </w:r>
    </w:p>
    <w:p>
      <w:r>
        <w:t xml:space="preserve">(3) Zuständig ist die Einleitungsbehörde, der der Soldat im Zeitpunkt der Einleitung untersteht. Die Zuständigkeit der Einleitungsbehörde wird durch eine Kommandierung oder Beurlaubung des Soldaten nicht berührt.</w:t>
      </w:r>
    </w:p>
    <w:p>
      <w:r>
        <w:t xml:space="preserve">(4) Ist zweifelhaft oder streitig, welche Einleitungsbehörde zuständig ist, bestimmt der Bundesminister der Verteidigung die zuständige Einleitungsbehörde.</w:t>
      </w:r>
    </w:p>
    <w:p>
      <w:r>
        <w:t xml:space="preserve">(5) Besteht zwischen den Dienstvergehen mehrerer Soldaten, die verschiedenen Einleitungsbehörden unterstehen, ein Zusammenhang, so kann die gemeinsame höhere Einleitungsbehörde die zuständige Einleitungsbehörde bestimmen.</w:t>
      </w:r>
    </w:p>
    <w:p>
      <w:r>
        <w:rPr>
          <w:color w:val="555555"/>
          <w:sz w:val="17"/>
        </w:rPr>
        <w:t xml:space="preserve">Zitiervorschlag: § 94 WDO 2002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https://recht.nulegal.eu/gesetze/WDO%202002/94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