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WDO 2002 — Einleitungsverfügung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Das gerichtliche Disziplinarverfahren wird durch schriftliche Verfügung der Einleitungsbehörde eingeleitet. Der Soldat ist vorher zu hören. Die Einleitung wird mit der Zustellung an den Soldaten wirksam.</w:t>
      </w:r>
    </w:p>
    <w:p>
      <w:r>
        <w:t xml:space="preserve">(2) Wird eine militärische Flugunfalluntersuchung durchgeführt, ist für die disziplinare Erledigung der damit zusammenhängenden Dienstvergehen die Einleitungsbehörde zuständig, soweit diese sie nicht dem sonst zuständigen Disziplinarvorgesetzten überlässt.</w:t>
      </w:r>
    </w:p>
    <w:p>
      <w:r>
        <w:t xml:space="preserve">(3) Wird ein Havarieverfahren durchgeführt, ist für die disziplinare Erledigung der damit zusammenhängenden Dienstvergehen die Einleitungsbehörde zuständig, die im Havarieverfahren die Entscheidung trifft. Sie kann auch ein gerichtliches Disziplinarverfahren einleiten, sofern nicht ein höherer Vorgesetzter Einleitungsbehörde ist.</w:t>
      </w:r>
    </w:p>
    <w:p>
      <w:r>
        <w:rPr>
          <w:color w:val="555555"/>
          <w:sz w:val="17"/>
        </w:rPr>
        <w:t xml:space="preserve">Zitiervorschlag: § 93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