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89 WDO 2002 — Ladungen</w:t>
      </w:r>
    </w:p>
    <w:p>
      <w:r>
        <w:rPr>
          <w:color w:val="555555"/>
          <w:sz w:val="18"/>
        </w:rPr>
        <w:t xml:space="preserve">Wehrdisziplinarordnung</w:t>
      </w:r>
    </w:p>
    <w:p>
      <w:r>
        <w:rPr>
          <w:color w:val="555555"/>
          <w:sz w:val="18"/>
        </w:rPr>
        <w:t xml:space="preserve">Historische Fassung: Stand 10.06.2019 bis 13.04.2025. Dies ist nicht die aktuelle Fassung.</w:t>
      </w:r>
    </w:p>
    <w:p>
      <w:r>
        <w:t xml:space="preserve">Soldaten werden zur Hauptverhandlung sowie zu sonstigen Vernehmungen dienstlich gestellt, auch wenn sie Zeugen oder Sachverständige sind. Bei der Bekanntgabe des Termins ist dem Soldaten die Ladung auszuhändigen. Frühere Soldaten und andere Personen werden unmittelbar geladen.</w:t>
      </w:r>
    </w:p>
    <w:p>
      <w:r>
        <w:rPr>
          <w:color w:val="555555"/>
          <w:sz w:val="17"/>
        </w:rPr>
        <w:t xml:space="preserve">Zitiervorschlag: § 89 WDO 2002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https://recht.nulegal.eu/gesetze/WDO%202002/89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