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WDO 2002 — Wehrdienstsenate, Errichtung, Zusammensetzung, Zuständigkeit</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Für Wehrdisziplinarsachen und Wehrbeschwerdesachen werden beim Bundesverwaltungsgericht Wehrdienstsenate gebildet. Für die Gerichtsverfassung gelten die §§ 4 und 11 Abs. 2 bis 5 der Verwaltungsgerichtsordnung, soweit sich aus diesem Gesetz nichts anderes ergibt.</w:t>
      </w:r>
    </w:p>
    <w:p>
      <w:r>
        <w:t xml:space="preserve">(2) Bei den Wehrdienstsenaten können nur Richter mitwirken, die vom Bundesministerium der Justiz und für Verbraucherschutz hierfür bestimmt sind. Die Bestimmung wird bei der Übertragung des Richteramtes beim Bundesverwaltungsgericht getroffen. Sie kann auf Vorschlag oder mit Zustimmung des Präsidiums des Bundesverwaltungsgerichts auch später ergehen oder aufgehoben werden. Durch Beschluss des Präsidiums können Richter anderer Senate auch zu zeitweiligen Mitgliedern eines Wehrdienstsenats bestellt werden, wenn dieser infolge Verhinderung seiner Mitglieder oder regelmäßigen Vertreter beschlussunfähig ist.</w:t>
      </w:r>
    </w:p>
    <w:p>
      <w:r>
        <w:t xml:space="preserve">(3) Die Wehrdienstsenate entscheiden in der Besetzung von drei Richtern und zwei ehrenamtlichen Richtern, bei Beschlüssen außerhalb der Hauptverhandlung in der Besetzung von drei Richtern. § 75 Abs. 2 und 3 ist anzuwenden.</w:t>
      </w:r>
    </w:p>
    <w:p>
      <w:r>
        <w:t xml:space="preserve">(4) Die ehrenamtlichen Richter werden vor Aufteilung der benannten Soldaten oder früheren Soldaten auf die Truppendienstkammern von einem Richter eines Wehrdienstsenats aus den Soldaten oder früheren Soldaten ausgelost, die den Truppendienstgerichten als ehrenamtliche Richter benannt sind. Soldaten, die aufgrund der Wehrpflicht Wehrdienst leisten, werden für die Zeit ihres Grundwehrdienstes zum ehrenamtlichen Richter berufen, andere Soldaten oder frühere Soldaten für zwei Jahre. § 74 Abs. 3 Satz 2 und 3, Abs. 4 bis 8 sowie die §§ 77 bis 79 gelten sinngemäß.</w:t>
      </w:r>
    </w:p>
    <w:p>
      <w:r>
        <w:rPr>
          <w:color w:val="555555"/>
          <w:sz w:val="17"/>
        </w:rPr>
        <w:t xml:space="preserve">Zitiervorschlag: § 80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