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WDO 2002 — Besetzung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Truppendienstkammer entscheidet in der Hauptverhandlung mit einem Richter als Vorsitzenden und zwei ehrenamtlichen Richtern. Außerhalb der Hauptverhandlung entscheidet der Vorsitzende allein, soweit nicht nach diesem Gesetz das Truppendienstgericht zu entscheiden hat.</w:t>
      </w:r>
    </w:p>
    <w:p>
      <w:r>
        <w:t xml:space="preserve">(2) Ein ehrenamtlicher Richter muss der Dienstgradgruppe des Soldaten angehören. Bei Verfahren gegen Sanitätsoffiziere, die Ärzte oder Zahnärzte sind, soll er nach Möglichkeit außerdem Arzt oder Zahnarzt sein, wenn das Verfahren Verstöße gegen ärztliche Pflichten zum Gegenstand hat. Der andere ehrenamtliche Richter muss Stabsoffizier sein und im Dienstgrad über dem Soldaten stehen. In Verfahren gegen Offiziere vom Obersten oder einem entsprechenden Dienstgrad an aufwärts muss der andere ehrenamtliche Richter der Dienstgradgruppe der Generale angehören.</w:t>
      </w:r>
    </w:p>
    <w:p>
      <w:r>
        <w:t xml:space="preserve">(3) Die ehrenamtlichen Richter sollen der Teilstreitkraft des Soldaten, jedoch nicht beide demselben Bataillon oder dem entsprechenden Truppenteil oder derselben Dienststelle angehören. Ein ehrenamtlicher Richter darf nicht Disziplinarvorgesetzter des anderen ehrenamtlichen Richters sein. In Verfahren gegen frühere Soldaten wegen eines Verhaltens, das als Dienstvergehen gilt, soll ein ehrenamtlicher Richter Angehöriger der Reserve sein; er muss der Dienstgradgruppe des früheren Soldaten angehören.</w:t>
      </w:r>
    </w:p>
    <w:p>
      <w:r>
        <w:t xml:space="preserve">(4) Soweit bei einer Truppendienstkammer ehrenamtliche Richter nach den Absätzen 2 und 3 nicht zur Verfügung stehen, sind Soldaten als ehrenamtliche Richter zu berufen, die bereits als ehrenamtliche Richter einer anderen Kammer des Truppendienstgerichts ausgelost sind. Insoweit findet eine besondere Auslosung statt; § 74 Abs. 3, 5 und 6 gilt entsprechend. Das Amt als ehrenamtlicher Richter bei einer anderen Truppendienstkammer bleibt unberührt.</w:t>
      </w:r>
    </w:p>
    <w:p>
      <w:r>
        <w:rPr>
          <w:color w:val="555555"/>
          <w:sz w:val="17"/>
        </w:rPr>
        <w:t xml:space="preserve">Zitiervorschlag: § 75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