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WDO 2002 — Aberkennung des Ruhegehalts</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Mit der Aberkennung des Ruhegehalts tritt der Verlust der Rechte als Soldat im Ruhestand ein. Sie setzt voraus, dass die Entfernung aus dem Dienstverhältnis gerechtfertigt wäre, falls sich der Soldat im Ruhestand noch im Dienst befände. Die Aberkennung des Ruhegehalts bewirkt auch den Verlust eines noch nicht gezahlten Ausgleichs und des Anspruchs auf Hinterbliebenenversorgung sowie den Verlust des Dienstgrades und der sich daraus ergebenden Befugnisse. § 63 Abs. 4 gilt entsprechend.</w:t>
      </w:r>
    </w:p>
    <w:p>
      <w:r>
        <w:t xml:space="preserve">(2) Der Soldat, dessen Ruhegehalt aberkannt wird, erhält bis zur Gewährung einer Rente aufgrund der durchgeführten Nachversicherung, längstens jedoch für die Dauer von sechs Monaten, einen Unterhaltsbeitrag in Höhe von 70 vom Hundert des Ruhegehalts, das ihm bei Eintritt der Unanfechtbarkeit der Entscheidung zusteht; eine Einbehaltung des Ruhegehalts nach § 126 Abs. 3 bleibt unberücksichtigt. § 63 Abs. 3 gilt entsprechend.</w:t>
      </w:r>
    </w:p>
    <w:p>
      <w:r>
        <w:rPr>
          <w:color w:val="555555"/>
          <w:sz w:val="17"/>
        </w:rPr>
        <w:t xml:space="preserve">Zitiervorschlag: § 65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