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WDO 2002 — Vollstreckung von Disziplinarbußen und Disziplinararrest im Zusammenhang mit dem Entlassungstag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Eine Disziplinarbuße kann auch nach dem Entlassungstag vollstreckt werden.</w:t>
      </w:r>
    </w:p>
    <w:p>
      <w:r>
        <w:t xml:space="preserve">(2) Soweit Disziplinararrest mit Rücksicht auf den Entlassungstag nicht mehr vollstreckt werden könnte, gelten § 42 Nr. 2 Satz 1 und § 47 Abs. 1 nicht, sofern der Richter die sofortige Vollstreckbarkeit angeordnet hat. Diese Entscheidung ist zu begründen. Der Entlassungstag verschiebt sich um die Dauer des noch nicht verbüßten Disziplinararrests.</w:t>
      </w:r>
    </w:p>
    <w:p>
      <w:r>
        <w:t xml:space="preserve">(3) Der vollstreckende Vorgesetzte soll von der Vollstreckung absehen, wenn hieraus kein Nachteil für die Disziplin zu besorgen ist.</w:t>
      </w:r>
    </w:p>
    <w:p>
      <w:r>
        <w:rPr>
          <w:color w:val="555555"/>
          <w:sz w:val="17"/>
        </w:rPr>
        <w:t xml:space="preserve">Zitiervorschlag: § 56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