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WDO 2002 — Zustellungen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 in diesem Gesetz vorgeschriebenen Zustellungen werden ausgeführt</w:t>
      </w:r>
    </w:p>
    <w:p>
      <w:pPr>
        <w:ind w:left="420"/>
      </w:pPr>
      <w:r>
        <w:t xml:space="preserve">1. durch Übergabe an den Empfänger gegen Empfangsbekenntnis oder, wenn er die Annahme oder die Ausstellung des Empfangsbekenntnisses verweigert, durch Anfertigung einer Niederschrift hierüber,</w:t>
      </w:r>
    </w:p>
    <w:p>
      <w:pPr>
        <w:ind w:left="420"/>
      </w:pPr>
      <w:r>
        <w:t xml:space="preserve">2. durch eingeschriebenen Brief mit Rückschein,</w:t>
      </w:r>
    </w:p>
    <w:p>
      <w:pPr>
        <w:ind w:left="420"/>
      </w:pPr>
      <w:r>
        <w:t xml:space="preserve">3. nach den Vorschriften der Zivilprozessordnung über die Zustellung von Amts wegen,</w:t>
      </w:r>
    </w:p>
    <w:p>
      <w:pPr>
        <w:ind w:left="420"/>
      </w:pPr>
      <w:r>
        <w:t xml:space="preserve">4. an Behörden und Dienststellen auch durch Vorlage der Akten mit den Urschriften der zuzustellenden Schriftstücke; der Empfänger hat den Tag der Vorlage in den Akten zu vermerken.</w:t>
      </w:r>
    </w:p>
    <w:p>
      <w:r>
        <w:t xml:space="preserve">(2) Die Zustellung nach Absatz 1 Nr. 3 kann auch durch einen Soldaten ausgeführt werden. Die öffentliche Zustellung wird auf Antrag des Wehrdisziplinaranwalts von dem Vorsitzenden der Truppendienstkammer bewilligt.</w:t>
      </w:r>
    </w:p>
    <w:p>
      <w:r>
        <w:t xml:space="preserve">(3) Hat der Empfangsberechtigte ein Schriftstück nachweislich erhalten, gilt es spätestens zu diesem Zeitpunkt als zugestellt.</w:t>
      </w:r>
    </w:p>
    <w:p>
      <w:r>
        <w:rPr>
          <w:color w:val="555555"/>
          <w:sz w:val="17"/>
        </w:rPr>
        <w:t xml:space="preserve">Zitiervorschlag: § 5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