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WDO 2002 — Aufhebung oder Änderung einer Disziplinarmaßnahme aus anderen Gründen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Jeder Disziplinarvorgesetzte muss beantragen, die Disziplinarmaßnahme aufzuheben, wenn er der Auffassung ist, dass gegen einen seiner Untergebenen eine Disziplinarmaßnahme verhängt worden ist, obwohl er unschuldig oder nicht nachweisbar schuldig war; er kann dies beantragen, wenn er der Auffassung ist, dass eine Disziplinarmaßnahme nicht angebracht oder nach § 16 Abs. 1 nicht zulässig war. Das Gleiche gilt für einen Antrag auf Herabsetzung der Disziplinarmaßnahme, wenn bei mehreren Pflichtverletzungen, die als ein Dienstvergehen geahndet worden sind, bei einer die Voraussetzungen des Satzes 1 vorliegen.</w:t>
      </w:r>
    </w:p>
    <w:p>
      <w:r>
        <w:t xml:space="preserve">(2) Der Disziplinarvorgesetzte, der die Disziplinarmaßnahme verhängt hat, oder bei einem Wechsel sein Nachfolger, ist zur Stellung eines Antrags nach Absatz 1 Satz 1 Halbsatz 2 verpflichtet. Dieser Vorgesetzte kann auch beantragen, eine von ihm verhängte Disziplinarmaßnahme herabzusetzen, wenn sie ihm nachträglich zu hart erscheint.</w:t>
      </w:r>
    </w:p>
    <w:p>
      <w:r>
        <w:t xml:space="preserve">(3) Der Soldat oder der frühere Soldat kann die Aufhebung einer nicht mehr anfechtbaren Disziplinarmaßnahme beantragen, wenn neue Tatsachen oder Beweismittel beigebracht sind, die zur Aufhebung der Disziplinarmaßnahme führen können. Als neue Tatsachen gelten auch die tatsächlichen Feststellungen eines wegen desselben Sachverhalts ergangenen rechtskräftigen Urteils im Strafverfahren oder Bußgeldverfahren, soweit sie von denen der Disziplinarverfügung abweichen.</w:t>
      </w:r>
    </w:p>
    <w:p>
      <w:r>
        <w:rPr>
          <w:color w:val="555555"/>
          <w:sz w:val="17"/>
        </w:rPr>
        <w:t xml:space="preserve">Zitiervorschlag: § 44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