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WDO 2002 — Aufhebung einer Disziplinarmaßnahme bei nachträglichem Straf- oder Bußgeldverfahren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Ist eine einfache Disziplinarmaßnahme unanfechtbar verhängt worden und wird wegen desselben Sachverhalts nachträglich durch ein Gericht oder eine Behörde eine Strafe oder Ordnungsmaßnahme verhängt oder kann ein Sachverhalt nach § 153a Abs. 1 Satz 5 oder Abs. 2 Satz 2 der Strafprozessordnung nach Erfüllung von Auflagen und Weisungen nicht mehr als Vergehen verfolgt werden, so ist die Disziplinarmaßnahme auf Antrag des Soldaten oder des früheren Soldaten aufzuheben, wenn ihre Verhängung nach Abschluss des Strafverfahrens oder des Bußgeldverfahrens gegen § 16 Abs. 1 verstoßen würde. Die Aufhebung eines Disziplinararrests unterbleibt, wenn die Voraussetzungen für eine zusätzliche disziplinare Ahndung zum Zeitpunkt seiner Verhängung vorgelegen haben.</w:t>
      </w:r>
    </w:p>
    <w:p>
      <w:r>
        <w:t xml:space="preserve">(2) Disziplinararrest ist aufzuheben, soweit er zusammen mit einer wegen desselben Sachverhalts nachträglich verhängten Freiheitsentziehung drei Wochen übersteigt.</w:t>
      </w:r>
    </w:p>
    <w:p>
      <w:r>
        <w:t xml:space="preserve">(3) Die Aufhebung ist ausgeschlossen, wenn die Disziplinarmaßnahme im Strafverfahren oder Bußgeldverfahren erkennbar angerechnet worden ist.</w:t>
      </w:r>
    </w:p>
    <w:p>
      <w:r>
        <w:rPr>
          <w:color w:val="555555"/>
          <w:sz w:val="17"/>
        </w:rPr>
        <w:t xml:space="preserve">Zitiervorschlag: § 43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