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WDO 2002 — Mitwirkung des Richters bei der Verhängung von Disziplinararrest</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Disziplinararrest darf erst verhängt werden, nachdem der Richter des zuständigen, notfalls des nächst erreichbaren Truppendienstgerichts zugestimmt hat. Der Richter stimmt dem beabsichtigten Disziplinararrest zu, wenn er diese Disziplinarmaßnahme für zulässig und angebracht hält. Die Entscheidung bedarf keiner Begründung. Der Richter kann zugleich die sofortige Vollstreckbarkeit anordnen, wenn dies zur Aufrechterhaltung der militärischen Ordnung geboten ist; diese Entscheidung ist zu begründen. Hat der Richter die sofortige Vollstreckbarkeit angeordnet, gelten § 37 Abs. 1 Satz 1 und § 47 Abs. 1 nicht.</w:t>
      </w:r>
    </w:p>
    <w:p>
      <w:r>
        <w:t xml:space="preserve">(2) Der Disziplinarvorgesetzte teilt dem Richter in seinem Antrag auf Zustimmung die beabsichtigte Dauer des Disziplinararrests mit. Will er zugleich Ausgangsbeschränkung oder Disziplinarbuße verhängen, teilt er auch die Dauer der Ausgangsbeschränkung oder den Betrag der Disziplinarbuße mit. Einen Antrag auf sofortige Vollstreckbarkeit hat er zu begründen. Der Soldat ist auch zu diesem Antrag zu hören. Der Disziplinarvorgesetzte fügt dem Antrag die nach § 32 entstandenen Vorgänge bei. Beizufügen sind ferner ein Auszug über Anerkennungen, Disziplinarmaßnahmen und Bestrafungen aus dem Disziplinarbuch oder den Personalunterlagen und, soweit erforderlich, eine Darstellung des Sachverhalts.</w:t>
      </w:r>
    </w:p>
    <w:p>
      <w:r>
        <w:t xml:space="preserve">(3) Lehnt der Richter es ab, dem Disziplinararrest zuzustimmen oder stimmt er nur einem kürzeren Disziplinararrest zu, hat er diese Entscheidung zu begründen. Ist er der Auffassung, dass eine gerichtliche Disziplinarmaßnahme angebracht ist, übersendet er die Akten der Einleitungsbehörde zur weiteren Entschließung.</w:t>
      </w:r>
    </w:p>
    <w:p>
      <w:r>
        <w:t xml:space="preserve">(4) Der Disziplinarvorgesetzte kann in den Fällen des Absatzes 3 Satz 1 binnen einer Woche nach Bekanntgabe der richterlichen Entscheidung das Truppendienstgericht anrufen. Hält das Truppendienstgericht den beabsichtigten oder einen kürzeren Disziplinararrest für zulässig und angebracht, verhängt es diesen selbst. Diese Entscheidung ist endgültig. Der Soldat ist vor der Entscheidung zu hören; die Anhörung kann außerhalb der Verhandlung auch durch den Vorsitzenden stattfinden. Dem Soldaten darf nur die Begründung für den verhängten Disziplinararrest mitgeteilt werden. Hält das Truppendienstgericht Disziplinararrest für nicht angebracht, entscheidet der Disziplinarvorgesetzte, ob er eine andere Disziplinarmaßnahme gegen den Soldaten verhängen will. Hält das Truppendienstgericht eine gerichtliche Disziplinarmaßnahme für geboten, übersendet es die Akten der Einleitungsbehörde zur weiteren Entschließung.</w:t>
      </w:r>
    </w:p>
    <w:p>
      <w:r>
        <w:t xml:space="preserve">(5) An Bord von Schiffen außerhalb der Hoheitsgewässer der Bundesrepublik Deutschland darf Disziplinararrest verhängt werden, bevor der Richter zugestimmt hat, wenn der Richter nicht erreichbar ist und die militärische Disziplin auf andere Weise nicht aufrechterhalten werden kann. § 42 Nr. 2 Satz 1 und § 47 Abs. 1 gelten nicht. Hat das Schiff einen Hafen der Bundesrepublik Deutschland erreicht, sind die Vorgänge unverzüglich dem Richter vorzulegen. Stimmt er der verhängten Disziplinarmaßnahme nicht zu, hebt er sie zugleich auf. Die Absätze 1 bis 4 gelten sinngemäß. § 46 Abs. 4 gilt entsprechend mit der Maßgabe, dass die Frist nach § 17 Abs. 2 mit der Aufhebung der Disziplinarmaßnahme beginnt.</w:t>
      </w:r>
    </w:p>
    <w:p>
      <w:r>
        <w:t xml:space="preserve">(6) Der Richter und das Truppendienstgericht können dem Bundesverwaltungsgericht Rechtsfragen von grundsätzlicher Bedeutung vorlegen. § 18 Abs. 4 der Wehrbeschwerdeordnung gilt entsprechend. Von der Vorlage bis zur Entscheidung des Bundesverwaltungsgerichts läuft die Frist nach § 17 Abs. 2 nicht.</w:t>
      </w:r>
    </w:p>
    <w:p>
      <w:r>
        <w:rPr>
          <w:color w:val="555555"/>
          <w:sz w:val="17"/>
        </w:rPr>
        <w:t xml:space="preserve">Zitiervorschlag: § 40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