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WDO 2002 — Selbständigkeit des Disziplinarvorgesetzten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Der zuständige Disziplinarvorgesetzte entscheidet allein verantwortlich; ihm kann nicht befohlen werden, ob und wie er ahnden soll.</w:t>
      </w:r>
    </w:p>
    <w:p>
      <w:r>
        <w:t xml:space="preserve">(2) Verhängt der Disziplinarvorgesetzte eine Disziplinarmaßnahme, dürfen höhere Vorgesetzte diese Entscheidung, abgesehen von den Fällen des § 45 und der Beschwerde, nur unter den Voraussetzungen des § 46 Abs. 2 aufheben.</w:t>
      </w:r>
    </w:p>
    <w:p>
      <w:r>
        <w:t xml:space="preserve">(3) Hält der Disziplinarvorgesetzte ein Dienstvergehen zwar für erwiesen, eine Disziplinarmaßnahme aber nicht für angebracht, darf kein höherer Vorgesetzter diese Entscheidung ändern. § 92 Abs. 3 und § 96 bleiben unberührt.</w:t>
      </w:r>
    </w:p>
    <w:p>
      <w:r>
        <w:rPr>
          <w:color w:val="555555"/>
          <w:sz w:val="17"/>
        </w:rPr>
        <w:t xml:space="preserve">Zitiervorschlag: § 35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