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WDO 2002 — Bindung an tatsächliche Feststellungen anderer Entscheidungen</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Die tatsächlichen Feststellungen eines rechtskräftigen Urteils im Strafverfahren oder Bußgeldverfahren, auf denen die Entscheidung beruht, sind für den Disziplinarvorgesetzten bindend, soweit das Dienstvergehen denselben Sachverhalt zum Gegenstand hat.</w:t>
      </w:r>
    </w:p>
    <w:p>
      <w:r>
        <w:t xml:space="preserve">(2) Das Wehrdienstgericht hat jedoch bei Entscheidungen nach § 40 Abs. 4, § 42 Nr. 4 und 5 sowie nach § 45 die nochmalige Prüfung solcher Feststellungen zu beschließen, deren Richtigkeit seine Mitglieder mit Stimmenmehrheit, bei Entscheidungen durch eine Truppendienstkammer mit der Stimme des Vorsitzenden, bezweifeln. Dies ist in den Gründen der Entscheidung zum Ausdruck zu bringen.</w:t>
      </w:r>
    </w:p>
    <w:p>
      <w:r>
        <w:rPr>
          <w:color w:val="555555"/>
          <w:sz w:val="17"/>
        </w:rPr>
        <w:t xml:space="preserve">Zitiervorschlag: § 34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