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WDO 2002 — Früher begangene Dienstvergehen</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Ein Soldat, der nach Beendigung eines früheren Wehrdienstverhältnisses erneut in einem Wehrdienstverhältnis steht, kann auch wegen solcher Dienstvergehen oder als Dienstvergehen geltender Handlungen verfolgt werden, die er in dem früheren Wehrdienstverhältnis oder danach begangen hat.</w:t>
      </w:r>
    </w:p>
    <w:p>
      <w:r>
        <w:t xml:space="preserve">(2) Bei Berufssoldaten oder Soldaten auf Zeit, die früher in einem Dienstverhältnis als Beamter oder Richter gestanden haben, findet dieses Gesetz auch wegen solcher Dienstvergehen Anwendung, die sie in ihrem früheren Dienstverhältnis oder als Versorgungsberechtigte aus einem solchen Dienstverhältnis begangen haben; auch bei einem aus einem solchen Dienstverhältnis Ausgeschiedenen oder Entlassenen gelten die in § 77 Abs. 2 des Bundesbeamtengesetzes bezeichneten Handlungen als Dienstvergehen. Ein Wechsel des Dienstherrn steht der Anwendung dieses Gesetzes nicht entgegen. Als einfache Disziplinarmaßnahmen darf das Wehrdienstgericht nur Verweis oder Disziplinarbuße verhängen.</w:t>
      </w:r>
    </w:p>
    <w:p>
      <w:r>
        <w:rPr>
          <w:color w:val="555555"/>
          <w:sz w:val="17"/>
        </w:rPr>
        <w:t xml:space="preserve">Zitiervorschlag: § 2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